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E5CD2" w14:textId="77777777" w:rsidR="00D81318" w:rsidRDefault="00D81318" w:rsidP="00D81318">
      <w:pPr>
        <w:pStyle w:val="NoSpacing"/>
        <w:rPr>
          <w:b/>
          <w:sz w:val="28"/>
          <w:szCs w:val="28"/>
        </w:rPr>
      </w:pPr>
      <w:proofErr w:type="spellStart"/>
      <w:r w:rsidRPr="00D81318">
        <w:rPr>
          <w:b/>
          <w:sz w:val="28"/>
          <w:szCs w:val="28"/>
        </w:rPr>
        <w:t>PicoGreen</w:t>
      </w:r>
      <w:proofErr w:type="spellEnd"/>
      <w:r w:rsidRPr="00D81318">
        <w:rPr>
          <w:b/>
          <w:sz w:val="28"/>
          <w:szCs w:val="28"/>
        </w:rPr>
        <w:t xml:space="preserve"> </w:t>
      </w:r>
      <w:r w:rsidR="00AF11E0">
        <w:rPr>
          <w:b/>
          <w:sz w:val="28"/>
          <w:szCs w:val="28"/>
        </w:rPr>
        <w:t xml:space="preserve">ds DNA </w:t>
      </w:r>
      <w:r w:rsidRPr="00D81318">
        <w:rPr>
          <w:b/>
          <w:sz w:val="28"/>
          <w:szCs w:val="28"/>
        </w:rPr>
        <w:t>Assay</w:t>
      </w:r>
    </w:p>
    <w:p w14:paraId="324BAF25" w14:textId="2D5503B0" w:rsidR="00D81318" w:rsidRDefault="00D81318" w:rsidP="00D813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Linda Warfield</w:t>
      </w:r>
      <w:r w:rsidR="005F1C5F">
        <w:rPr>
          <w:sz w:val="24"/>
          <w:szCs w:val="24"/>
        </w:rPr>
        <w:t>, Hahn Lab</w:t>
      </w:r>
    </w:p>
    <w:p w14:paraId="1C8AE387" w14:textId="77777777" w:rsidR="00D81318" w:rsidRDefault="00C513BF" w:rsidP="00D813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24 2016</w:t>
      </w:r>
    </w:p>
    <w:p w14:paraId="174777A7" w14:textId="77777777" w:rsidR="00D81318" w:rsidRDefault="00D81318" w:rsidP="00D81318">
      <w:pPr>
        <w:pStyle w:val="NoSpacing"/>
        <w:rPr>
          <w:sz w:val="24"/>
          <w:szCs w:val="24"/>
        </w:rPr>
      </w:pPr>
    </w:p>
    <w:p w14:paraId="2BC611B1" w14:textId="77777777" w:rsidR="00D81318" w:rsidRDefault="00D81318" w:rsidP="00D813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Specifically quantitates low quantity ds DNA, as little as 50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 xml:space="preserve"> DNA in 200 ul assay volume.</w:t>
      </w:r>
    </w:p>
    <w:p w14:paraId="68A18CD7" w14:textId="77777777" w:rsidR="003C4005" w:rsidRDefault="003C4005" w:rsidP="00D813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Complete protocol:  </w:t>
      </w:r>
      <w:hyperlink r:id="rId8" w:history="1">
        <w:r w:rsidRPr="003C4005">
          <w:rPr>
            <w:rStyle w:val="Hyperlink"/>
            <w:sz w:val="24"/>
            <w:szCs w:val="24"/>
          </w:rPr>
          <w:t>https://tools.thermofisher.com/content/sfs/manuals/mp07581.pdf</w:t>
        </w:r>
      </w:hyperlink>
    </w:p>
    <w:p w14:paraId="18A4F045" w14:textId="77777777" w:rsidR="00D81318" w:rsidRDefault="00D81318" w:rsidP="00D81318">
      <w:pPr>
        <w:pStyle w:val="NoSpacing"/>
        <w:rPr>
          <w:sz w:val="24"/>
          <w:szCs w:val="24"/>
        </w:rPr>
      </w:pPr>
    </w:p>
    <w:p w14:paraId="0AA24A95" w14:textId="77777777" w:rsidR="00D81318" w:rsidRDefault="00D81318" w:rsidP="00D81318">
      <w:pPr>
        <w:pStyle w:val="NoSpacing"/>
        <w:rPr>
          <w:sz w:val="24"/>
          <w:szCs w:val="24"/>
          <w:u w:val="single"/>
        </w:rPr>
      </w:pPr>
      <w:r w:rsidRPr="00D81318">
        <w:rPr>
          <w:sz w:val="24"/>
          <w:szCs w:val="24"/>
          <w:u w:val="single"/>
        </w:rPr>
        <w:t>Reagents</w:t>
      </w:r>
    </w:p>
    <w:p w14:paraId="0F13DC7F" w14:textId="77777777" w:rsidR="00D81318" w:rsidRDefault="00D81318" w:rsidP="003C400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Quant-IT </w:t>
      </w:r>
      <w:proofErr w:type="spellStart"/>
      <w:r>
        <w:rPr>
          <w:sz w:val="24"/>
          <w:szCs w:val="24"/>
        </w:rPr>
        <w:t>PicoGreen</w:t>
      </w:r>
      <w:proofErr w:type="spellEnd"/>
      <w:r>
        <w:rPr>
          <w:sz w:val="24"/>
          <w:szCs w:val="24"/>
        </w:rPr>
        <w:t xml:space="preserve"> Assay from Molecular Probes, item #P7589 – includes 20X TE, </w:t>
      </w:r>
      <w:proofErr w:type="spellStart"/>
      <w:r>
        <w:rPr>
          <w:sz w:val="24"/>
          <w:szCs w:val="24"/>
        </w:rPr>
        <w:t>PicoGreen</w:t>
      </w:r>
      <w:proofErr w:type="spellEnd"/>
      <w:r>
        <w:rPr>
          <w:sz w:val="24"/>
          <w:szCs w:val="24"/>
        </w:rPr>
        <w:t xml:space="preserve"> dye, and Lambda DNA standard</w:t>
      </w:r>
    </w:p>
    <w:p w14:paraId="07FEA79E" w14:textId="77777777" w:rsidR="00D81318" w:rsidRDefault="00D81318" w:rsidP="00D8131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96 well assay plate, Costar item #3915 – black, flat bottom, polystyrene</w:t>
      </w:r>
    </w:p>
    <w:p w14:paraId="4F7103B5" w14:textId="77777777" w:rsidR="00D81318" w:rsidRPr="003C4005" w:rsidRDefault="00D81318" w:rsidP="003C4005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3C4005">
        <w:rPr>
          <w:sz w:val="24"/>
          <w:szCs w:val="24"/>
        </w:rPr>
        <w:t>BioTek</w:t>
      </w:r>
      <w:proofErr w:type="spellEnd"/>
      <w:r w:rsidRPr="003C4005">
        <w:rPr>
          <w:sz w:val="24"/>
          <w:szCs w:val="24"/>
        </w:rPr>
        <w:t xml:space="preserve"> FLx800 plate reader in Henikoff lab</w:t>
      </w:r>
    </w:p>
    <w:p w14:paraId="3DA81025" w14:textId="77777777" w:rsidR="003C4005" w:rsidRDefault="003C4005" w:rsidP="003C4005">
      <w:pPr>
        <w:pStyle w:val="NoSpacing"/>
        <w:rPr>
          <w:sz w:val="24"/>
          <w:szCs w:val="24"/>
        </w:rPr>
      </w:pPr>
    </w:p>
    <w:p w14:paraId="738029AA" w14:textId="77777777" w:rsidR="003C4005" w:rsidRDefault="003C4005" w:rsidP="003C4005">
      <w:pPr>
        <w:pStyle w:val="NoSpacing"/>
        <w:rPr>
          <w:sz w:val="24"/>
          <w:szCs w:val="24"/>
        </w:rPr>
      </w:pPr>
    </w:p>
    <w:p w14:paraId="16CB50E0" w14:textId="77777777" w:rsidR="00AF11E0" w:rsidRDefault="003C4005" w:rsidP="003C4005">
      <w:pPr>
        <w:pStyle w:val="NoSpacing"/>
        <w:rPr>
          <w:sz w:val="24"/>
          <w:szCs w:val="24"/>
          <w:u w:val="single"/>
        </w:rPr>
      </w:pPr>
      <w:r w:rsidRPr="003C4005">
        <w:rPr>
          <w:sz w:val="24"/>
          <w:szCs w:val="24"/>
          <w:u w:val="single"/>
        </w:rPr>
        <w:t>Protocol</w:t>
      </w:r>
    </w:p>
    <w:p w14:paraId="10EA6D6E" w14:textId="77777777" w:rsidR="003C4005" w:rsidRDefault="003C4005" w:rsidP="003C400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Turn on plate reader before setting up assay to allow the machine to warm up.</w:t>
      </w:r>
    </w:p>
    <w:p w14:paraId="0C74D674" w14:textId="77777777" w:rsidR="00E73E8E" w:rsidRDefault="00E73E8E" w:rsidP="00E73E8E">
      <w:pPr>
        <w:pStyle w:val="NoSpacing"/>
        <w:ind w:left="720"/>
        <w:rPr>
          <w:sz w:val="24"/>
          <w:szCs w:val="24"/>
        </w:rPr>
      </w:pPr>
    </w:p>
    <w:p w14:paraId="7953CA2C" w14:textId="77777777" w:rsidR="003C4005" w:rsidRDefault="003C4005" w:rsidP="003C400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Determine how many samples will be read, including standards.  4 standards + blank + unknowns, all in duplicate.</w:t>
      </w:r>
      <w:r w:rsidR="00E0123F">
        <w:rPr>
          <w:sz w:val="24"/>
          <w:szCs w:val="24"/>
        </w:rPr>
        <w:t xml:space="preserve">  Reaction volumes will be 200ul per sample/well.</w:t>
      </w:r>
    </w:p>
    <w:p w14:paraId="1E7FF65E" w14:textId="77777777" w:rsidR="00E73E8E" w:rsidRDefault="00E73E8E" w:rsidP="00E73E8E">
      <w:pPr>
        <w:pStyle w:val="NoSpacing"/>
        <w:rPr>
          <w:sz w:val="24"/>
          <w:szCs w:val="24"/>
        </w:rPr>
      </w:pPr>
    </w:p>
    <w:p w14:paraId="2E1B3BB5" w14:textId="77777777" w:rsidR="003C4005" w:rsidRDefault="00204F53" w:rsidP="003C400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Prepare 1X TE from 20X stock using di DNase-free water.</w:t>
      </w:r>
      <w:r w:rsidR="00E0123F">
        <w:rPr>
          <w:sz w:val="24"/>
          <w:szCs w:val="24"/>
        </w:rPr>
        <w:t xml:space="preserve"> Will need 200ul 1X TE per sample</w:t>
      </w:r>
      <w:r w:rsidR="00ED47F9">
        <w:rPr>
          <w:sz w:val="24"/>
          <w:szCs w:val="24"/>
        </w:rPr>
        <w:t>, plus extra for diluting standard DNA</w:t>
      </w:r>
      <w:r w:rsidR="00E0123F">
        <w:rPr>
          <w:sz w:val="24"/>
          <w:szCs w:val="24"/>
        </w:rPr>
        <w:t>.</w:t>
      </w:r>
    </w:p>
    <w:p w14:paraId="65CE5423" w14:textId="77777777" w:rsidR="00E73E8E" w:rsidRDefault="00E73E8E" w:rsidP="00E73E8E">
      <w:pPr>
        <w:pStyle w:val="NoSpacing"/>
        <w:rPr>
          <w:sz w:val="24"/>
          <w:szCs w:val="24"/>
        </w:rPr>
      </w:pPr>
    </w:p>
    <w:p w14:paraId="377EA433" w14:textId="77777777" w:rsidR="00204F53" w:rsidRDefault="00204F53" w:rsidP="003C400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Prepare a working stock of </w:t>
      </w:r>
      <w:proofErr w:type="spellStart"/>
      <w:r>
        <w:rPr>
          <w:sz w:val="24"/>
          <w:szCs w:val="24"/>
        </w:rPr>
        <w:t>PicoGreen</w:t>
      </w:r>
      <w:proofErr w:type="spellEnd"/>
      <w:r>
        <w:rPr>
          <w:sz w:val="24"/>
          <w:szCs w:val="24"/>
        </w:rPr>
        <w:t xml:space="preserve"> reagent.  Allow </w:t>
      </w:r>
      <w:proofErr w:type="spellStart"/>
      <w:r>
        <w:rPr>
          <w:sz w:val="24"/>
          <w:szCs w:val="24"/>
        </w:rPr>
        <w:t>PicoGreen</w:t>
      </w:r>
      <w:proofErr w:type="spellEnd"/>
      <w:r>
        <w:rPr>
          <w:sz w:val="24"/>
          <w:szCs w:val="24"/>
        </w:rPr>
        <w:t xml:space="preserve"> stock to come to room temp before opening tube (stock is in DMSO).  Dilute 200-fold into prepared 1X TE in plastic tubes (no glass).  Will need 100 ul working stock of </w:t>
      </w:r>
      <w:proofErr w:type="spellStart"/>
      <w:r>
        <w:rPr>
          <w:sz w:val="24"/>
          <w:szCs w:val="24"/>
        </w:rPr>
        <w:t>PicoGreen</w:t>
      </w:r>
      <w:proofErr w:type="spellEnd"/>
      <w:r>
        <w:rPr>
          <w:sz w:val="24"/>
          <w:szCs w:val="24"/>
        </w:rPr>
        <w:t xml:space="preserve"> per sample.  Cover with foil until needed, working solution should be used within a few hours of preparation.</w:t>
      </w:r>
    </w:p>
    <w:p w14:paraId="106DF812" w14:textId="77777777" w:rsidR="00E73E8E" w:rsidRDefault="00E73E8E" w:rsidP="00E73E8E">
      <w:pPr>
        <w:pStyle w:val="NoSpacing"/>
        <w:rPr>
          <w:sz w:val="24"/>
          <w:szCs w:val="24"/>
        </w:rPr>
      </w:pPr>
    </w:p>
    <w:p w14:paraId="65D27F36" w14:textId="77777777" w:rsidR="00204F53" w:rsidRDefault="00DA286B" w:rsidP="003C400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Prepare working solution of standard DNA.  St</w:t>
      </w:r>
      <w:r w:rsidR="00D93BF8">
        <w:rPr>
          <w:sz w:val="24"/>
          <w:szCs w:val="24"/>
        </w:rPr>
        <w:t>ock Lambda DNA provided is 100 u</w:t>
      </w:r>
      <w:r>
        <w:rPr>
          <w:sz w:val="24"/>
          <w:szCs w:val="24"/>
        </w:rPr>
        <w:t xml:space="preserve">g/ml.  </w:t>
      </w:r>
      <w:r w:rsidR="005D036E">
        <w:rPr>
          <w:sz w:val="24"/>
          <w:szCs w:val="24"/>
          <w:lang w:val="pl-PL"/>
        </w:rPr>
        <w:t>Dilute to 2 ug/ml in 1X TE (6</w:t>
      </w:r>
      <w:r w:rsidRPr="00DA286B">
        <w:rPr>
          <w:sz w:val="24"/>
          <w:szCs w:val="24"/>
          <w:lang w:val="pl-PL"/>
        </w:rPr>
        <w:t xml:space="preserve"> ul </w:t>
      </w:r>
      <w:r w:rsidR="00D93BF8">
        <w:rPr>
          <w:sz w:val="24"/>
          <w:szCs w:val="24"/>
          <w:lang w:val="pl-PL"/>
        </w:rPr>
        <w:t>100 u</w:t>
      </w:r>
      <w:r>
        <w:rPr>
          <w:sz w:val="24"/>
          <w:szCs w:val="24"/>
          <w:lang w:val="pl-PL"/>
        </w:rPr>
        <w:t xml:space="preserve">g/ml </w:t>
      </w:r>
      <w:r w:rsidR="005D036E">
        <w:rPr>
          <w:sz w:val="24"/>
          <w:szCs w:val="24"/>
          <w:lang w:val="pl-PL"/>
        </w:rPr>
        <w:t>DNA + 294</w:t>
      </w:r>
      <w:r w:rsidRPr="00DA286B">
        <w:rPr>
          <w:sz w:val="24"/>
          <w:szCs w:val="24"/>
          <w:lang w:val="pl-PL"/>
        </w:rPr>
        <w:t xml:space="preserve"> ul TE). </w:t>
      </w:r>
      <w:r>
        <w:rPr>
          <w:sz w:val="24"/>
          <w:szCs w:val="24"/>
          <w:lang w:val="pl-PL"/>
        </w:rPr>
        <w:t xml:space="preserve"> </w:t>
      </w:r>
      <w:r w:rsidRPr="00DA286B">
        <w:rPr>
          <w:sz w:val="24"/>
          <w:szCs w:val="24"/>
        </w:rPr>
        <w:t xml:space="preserve">Low range standards will need </w:t>
      </w:r>
      <w:r w:rsidR="00DB4E9B">
        <w:rPr>
          <w:sz w:val="24"/>
          <w:szCs w:val="24"/>
        </w:rPr>
        <w:t xml:space="preserve">an </w:t>
      </w:r>
      <w:r w:rsidRPr="00DA286B">
        <w:rPr>
          <w:sz w:val="24"/>
          <w:szCs w:val="24"/>
        </w:rPr>
        <w:t>additional dilution to 5</w:t>
      </w:r>
      <w:r w:rsidR="00DB4E9B">
        <w:rPr>
          <w:sz w:val="24"/>
          <w:szCs w:val="24"/>
        </w:rPr>
        <w:t>0 ng/ml (</w:t>
      </w:r>
      <w:r w:rsidR="005D036E">
        <w:rPr>
          <w:sz w:val="24"/>
          <w:szCs w:val="24"/>
        </w:rPr>
        <w:t>8 ul 2 ug/ml DNA + 312</w:t>
      </w:r>
      <w:r w:rsidRPr="00DA286B">
        <w:rPr>
          <w:sz w:val="24"/>
          <w:szCs w:val="24"/>
        </w:rPr>
        <w:t xml:space="preserve"> ul TE)</w:t>
      </w:r>
      <w:r>
        <w:rPr>
          <w:sz w:val="24"/>
          <w:szCs w:val="24"/>
        </w:rPr>
        <w:t>.</w:t>
      </w:r>
      <w:r w:rsidR="00B4516F">
        <w:rPr>
          <w:sz w:val="24"/>
          <w:szCs w:val="24"/>
        </w:rPr>
        <w:t xml:space="preserve">  </w:t>
      </w:r>
    </w:p>
    <w:p w14:paraId="57672F0E" w14:textId="77777777" w:rsidR="00E73E8E" w:rsidRDefault="00E73E8E" w:rsidP="00E73E8E">
      <w:pPr>
        <w:pStyle w:val="NoSpacing"/>
        <w:rPr>
          <w:sz w:val="24"/>
          <w:szCs w:val="24"/>
        </w:rPr>
      </w:pPr>
    </w:p>
    <w:p w14:paraId="2C851044" w14:textId="77777777" w:rsidR="00797C7D" w:rsidRPr="00797C7D" w:rsidRDefault="00961D95" w:rsidP="00797C7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Dispense appropriate volume of 1X TE to each well, then add DNA standards and unknown DNAs so that final volume in each well is 100 ul.</w:t>
      </w:r>
      <w:r w:rsidR="00797C7D">
        <w:rPr>
          <w:sz w:val="24"/>
          <w:szCs w:val="24"/>
        </w:rPr>
        <w:t xml:space="preserve">  </w:t>
      </w:r>
      <w:r w:rsidR="00797C7D" w:rsidRPr="00797C7D">
        <w:rPr>
          <w:b/>
          <w:sz w:val="24"/>
          <w:szCs w:val="24"/>
        </w:rPr>
        <w:t>**Important</w:t>
      </w:r>
      <w:r w:rsidR="00797C7D">
        <w:rPr>
          <w:b/>
          <w:sz w:val="24"/>
          <w:szCs w:val="24"/>
        </w:rPr>
        <w:t>!</w:t>
      </w:r>
      <w:r w:rsidR="00797C7D" w:rsidRPr="00797C7D">
        <w:rPr>
          <w:b/>
          <w:sz w:val="24"/>
          <w:szCs w:val="24"/>
        </w:rPr>
        <w:t>**</w:t>
      </w:r>
      <w:r w:rsidR="00797C7D">
        <w:rPr>
          <w:sz w:val="24"/>
          <w:szCs w:val="24"/>
        </w:rPr>
        <w:t xml:space="preserve">  The Henikoff template on the plate reader</w:t>
      </w:r>
      <w:r w:rsidR="00C36635">
        <w:rPr>
          <w:sz w:val="24"/>
          <w:szCs w:val="24"/>
        </w:rPr>
        <w:t xml:space="preserve"> is set up to use well A1 as the</w:t>
      </w:r>
      <w:r w:rsidR="00797C7D">
        <w:rPr>
          <w:sz w:val="24"/>
          <w:szCs w:val="24"/>
        </w:rPr>
        <w:t xml:space="preserve"> “PMT sensitivity” </w:t>
      </w:r>
      <w:r w:rsidR="00A55620">
        <w:rPr>
          <w:sz w:val="24"/>
          <w:szCs w:val="24"/>
        </w:rPr>
        <w:t xml:space="preserve">reference </w:t>
      </w:r>
      <w:r w:rsidR="00797C7D">
        <w:rPr>
          <w:sz w:val="24"/>
          <w:szCs w:val="24"/>
        </w:rPr>
        <w:t>well, so this well must have the most DNA in it.  Plan on using A1 for the highest DNA standard (S1).</w:t>
      </w:r>
    </w:p>
    <w:p w14:paraId="07CDD4ED" w14:textId="77777777" w:rsidR="00E73E8E" w:rsidRDefault="00E73E8E" w:rsidP="00E73E8E">
      <w:pPr>
        <w:pStyle w:val="NoSpacing"/>
        <w:rPr>
          <w:sz w:val="24"/>
          <w:szCs w:val="24"/>
        </w:rPr>
      </w:pPr>
    </w:p>
    <w:p w14:paraId="7E6E41DD" w14:textId="77777777" w:rsidR="00FF0B1F" w:rsidRDefault="00FF0B1F" w:rsidP="003C400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Dispense 100 ul working solution of </w:t>
      </w:r>
      <w:proofErr w:type="spellStart"/>
      <w:r>
        <w:rPr>
          <w:sz w:val="24"/>
          <w:szCs w:val="24"/>
        </w:rPr>
        <w:t>PicoGreen</w:t>
      </w:r>
      <w:proofErr w:type="spellEnd"/>
      <w:r>
        <w:rPr>
          <w:sz w:val="24"/>
          <w:szCs w:val="24"/>
        </w:rPr>
        <w:t xml:space="preserve"> to each well, pipetting up and down several times.</w:t>
      </w:r>
    </w:p>
    <w:p w14:paraId="66E1BD35" w14:textId="77777777" w:rsidR="00E73E8E" w:rsidRDefault="00E73E8E" w:rsidP="00E73E8E">
      <w:pPr>
        <w:pStyle w:val="NoSpacing"/>
        <w:rPr>
          <w:sz w:val="24"/>
          <w:szCs w:val="24"/>
        </w:rPr>
      </w:pPr>
    </w:p>
    <w:p w14:paraId="7D249941" w14:textId="77777777" w:rsidR="00FF0B1F" w:rsidRPr="00797C7D" w:rsidRDefault="00FF0B1F" w:rsidP="00797C7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Cover plate with foil and incubate at room tempera</w:t>
      </w:r>
      <w:r w:rsidR="00797C7D">
        <w:rPr>
          <w:sz w:val="24"/>
          <w:szCs w:val="24"/>
        </w:rPr>
        <w:t>ture for 5 minutes.  Read plate.</w:t>
      </w:r>
      <w:r w:rsidR="004D0E3B">
        <w:rPr>
          <w:sz w:val="24"/>
          <w:szCs w:val="24"/>
        </w:rPr>
        <w:t xml:space="preserve">  (Plate can be read up to an hour after adding the </w:t>
      </w:r>
      <w:proofErr w:type="spellStart"/>
      <w:r w:rsidR="004D0E3B">
        <w:rPr>
          <w:sz w:val="24"/>
          <w:szCs w:val="24"/>
        </w:rPr>
        <w:t>PicoGreen</w:t>
      </w:r>
      <w:proofErr w:type="spellEnd"/>
      <w:r w:rsidR="004D0E3B">
        <w:rPr>
          <w:sz w:val="24"/>
          <w:szCs w:val="24"/>
        </w:rPr>
        <w:t>, and possibly longer)</w:t>
      </w:r>
    </w:p>
    <w:p w14:paraId="00184E40" w14:textId="77777777" w:rsidR="00FF0B1F" w:rsidRDefault="00FF0B1F" w:rsidP="00FF0B1F">
      <w:pPr>
        <w:pStyle w:val="NoSpacing"/>
        <w:ind w:left="720"/>
        <w:rPr>
          <w:sz w:val="24"/>
          <w:szCs w:val="24"/>
        </w:rPr>
      </w:pPr>
    </w:p>
    <w:p w14:paraId="3F7E95A3" w14:textId="77777777" w:rsidR="00FF0B1F" w:rsidRDefault="00FF0B1F" w:rsidP="00FF0B1F">
      <w:pPr>
        <w:pStyle w:val="NoSpacing"/>
        <w:ind w:left="720"/>
        <w:rPr>
          <w:sz w:val="24"/>
          <w:szCs w:val="24"/>
        </w:rPr>
      </w:pPr>
    </w:p>
    <w:p w14:paraId="763F6461" w14:textId="77777777" w:rsidR="00FF0B1F" w:rsidRDefault="00FF0B1F" w:rsidP="00FF0B1F">
      <w:pPr>
        <w:pStyle w:val="NoSpacing"/>
        <w:ind w:left="720"/>
        <w:rPr>
          <w:sz w:val="24"/>
          <w:szCs w:val="24"/>
        </w:rPr>
      </w:pPr>
    </w:p>
    <w:p w14:paraId="78FAE6BB" w14:textId="77777777" w:rsidR="00FF0B1F" w:rsidRPr="00797C7D" w:rsidRDefault="00FF0B1F" w:rsidP="00FF0B1F">
      <w:pPr>
        <w:pStyle w:val="NoSpacing"/>
        <w:ind w:left="720"/>
        <w:rPr>
          <w:b/>
          <w:sz w:val="24"/>
          <w:szCs w:val="24"/>
        </w:rPr>
      </w:pPr>
      <w:r w:rsidRPr="00797C7D">
        <w:rPr>
          <w:b/>
          <w:sz w:val="24"/>
          <w:szCs w:val="24"/>
        </w:rPr>
        <w:t>High-Range Standard Curve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2160"/>
        <w:gridCol w:w="2700"/>
        <w:gridCol w:w="2628"/>
      </w:tblGrid>
      <w:tr w:rsidR="00FF0B1F" w14:paraId="677D8296" w14:textId="77777777" w:rsidTr="00E73E8E">
        <w:tc>
          <w:tcPr>
            <w:tcW w:w="1368" w:type="dxa"/>
          </w:tcPr>
          <w:p w14:paraId="4C7279C3" w14:textId="77777777" w:rsidR="00FF0B1F" w:rsidRDefault="00FF0B1F" w:rsidP="00FF0B1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EB601FC" w14:textId="77777777" w:rsidR="00FF0B1F" w:rsidRDefault="00E73E8E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TE (ul)</w:t>
            </w:r>
          </w:p>
        </w:tc>
        <w:tc>
          <w:tcPr>
            <w:tcW w:w="2700" w:type="dxa"/>
          </w:tcPr>
          <w:p w14:paraId="0776F9B7" w14:textId="77777777" w:rsidR="00FF0B1F" w:rsidRDefault="00E73E8E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2 ug/ml DNA</w:t>
            </w:r>
          </w:p>
        </w:tc>
        <w:tc>
          <w:tcPr>
            <w:tcW w:w="2628" w:type="dxa"/>
          </w:tcPr>
          <w:p w14:paraId="7A569ACC" w14:textId="77777777" w:rsidR="00FF0B1F" w:rsidRDefault="00E73E8E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DNA in well (ng)</w:t>
            </w:r>
          </w:p>
        </w:tc>
      </w:tr>
      <w:tr w:rsidR="00797C7D" w14:paraId="16EA3039" w14:textId="77777777" w:rsidTr="00E73E8E">
        <w:tc>
          <w:tcPr>
            <w:tcW w:w="1368" w:type="dxa"/>
          </w:tcPr>
          <w:p w14:paraId="5507A5B5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2160" w:type="dxa"/>
          </w:tcPr>
          <w:p w14:paraId="216CFC34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6D141C7F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8" w:type="dxa"/>
          </w:tcPr>
          <w:p w14:paraId="37962A86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97C7D" w14:paraId="2D998096" w14:textId="77777777" w:rsidTr="00E73E8E">
        <w:tc>
          <w:tcPr>
            <w:tcW w:w="1368" w:type="dxa"/>
          </w:tcPr>
          <w:p w14:paraId="3148B082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</w:t>
            </w:r>
          </w:p>
        </w:tc>
        <w:tc>
          <w:tcPr>
            <w:tcW w:w="2160" w:type="dxa"/>
          </w:tcPr>
          <w:p w14:paraId="4CA82EBD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14:paraId="6B15D562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8" w:type="dxa"/>
          </w:tcPr>
          <w:p w14:paraId="3FA810CE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97C7D" w14:paraId="0A96B92A" w14:textId="77777777" w:rsidTr="00E73E8E">
        <w:tc>
          <w:tcPr>
            <w:tcW w:w="1368" w:type="dxa"/>
          </w:tcPr>
          <w:p w14:paraId="74E6B47C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  <w:tc>
          <w:tcPr>
            <w:tcW w:w="2160" w:type="dxa"/>
          </w:tcPr>
          <w:p w14:paraId="51A6E983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700" w:type="dxa"/>
          </w:tcPr>
          <w:p w14:paraId="0B593929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78F282F4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7C7D" w14:paraId="6717886C" w14:textId="77777777" w:rsidTr="00E73E8E">
        <w:tc>
          <w:tcPr>
            <w:tcW w:w="1368" w:type="dxa"/>
          </w:tcPr>
          <w:p w14:paraId="534A30BC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</w:tc>
        <w:tc>
          <w:tcPr>
            <w:tcW w:w="2160" w:type="dxa"/>
          </w:tcPr>
          <w:p w14:paraId="603C8A24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</w:t>
            </w:r>
          </w:p>
        </w:tc>
        <w:tc>
          <w:tcPr>
            <w:tcW w:w="2700" w:type="dxa"/>
          </w:tcPr>
          <w:p w14:paraId="0D8C6BDC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628" w:type="dxa"/>
          </w:tcPr>
          <w:p w14:paraId="5F129629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</w:tr>
      <w:tr w:rsidR="00797C7D" w14:paraId="2FCD4475" w14:textId="77777777" w:rsidTr="00E73E8E">
        <w:tc>
          <w:tcPr>
            <w:tcW w:w="1368" w:type="dxa"/>
          </w:tcPr>
          <w:p w14:paraId="0CD975CC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0D88CF6E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14:paraId="548A6AE7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8" w:type="dxa"/>
          </w:tcPr>
          <w:p w14:paraId="5D3405BE" w14:textId="77777777" w:rsidR="00797C7D" w:rsidRDefault="00797C7D" w:rsidP="00FF0B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0C80EB3" w14:textId="77777777" w:rsidR="00FF0B1F" w:rsidRPr="00DA286B" w:rsidRDefault="00FF0B1F" w:rsidP="00FF0B1F">
      <w:pPr>
        <w:pStyle w:val="NoSpacing"/>
        <w:ind w:left="720"/>
        <w:rPr>
          <w:sz w:val="24"/>
          <w:szCs w:val="24"/>
        </w:rPr>
      </w:pPr>
    </w:p>
    <w:p w14:paraId="45E8CCD5" w14:textId="77777777" w:rsidR="00FF0B1F" w:rsidRPr="00797C7D" w:rsidRDefault="00FF0B1F" w:rsidP="00FF0B1F">
      <w:pPr>
        <w:pStyle w:val="NoSpacing"/>
        <w:ind w:left="720"/>
        <w:rPr>
          <w:b/>
          <w:sz w:val="24"/>
          <w:szCs w:val="24"/>
        </w:rPr>
      </w:pPr>
      <w:r w:rsidRPr="00797C7D">
        <w:rPr>
          <w:b/>
          <w:sz w:val="24"/>
          <w:szCs w:val="24"/>
        </w:rPr>
        <w:t>Low-Range Standard Curve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2160"/>
        <w:gridCol w:w="2700"/>
        <w:gridCol w:w="2628"/>
      </w:tblGrid>
      <w:tr w:rsidR="00E73E8E" w14:paraId="72F82715" w14:textId="77777777" w:rsidTr="00E73E8E">
        <w:tc>
          <w:tcPr>
            <w:tcW w:w="1368" w:type="dxa"/>
          </w:tcPr>
          <w:p w14:paraId="0F06DF20" w14:textId="77777777" w:rsidR="00E73E8E" w:rsidRDefault="00E73E8E" w:rsidP="0002282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5AA76A4" w14:textId="77777777" w:rsidR="00E73E8E" w:rsidRDefault="00E73E8E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TE (ul)</w:t>
            </w:r>
          </w:p>
        </w:tc>
        <w:tc>
          <w:tcPr>
            <w:tcW w:w="2700" w:type="dxa"/>
          </w:tcPr>
          <w:p w14:paraId="479624E7" w14:textId="77777777" w:rsidR="00E73E8E" w:rsidRDefault="00E73E8E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50 ng/ml DNA</w:t>
            </w:r>
          </w:p>
        </w:tc>
        <w:tc>
          <w:tcPr>
            <w:tcW w:w="2628" w:type="dxa"/>
          </w:tcPr>
          <w:p w14:paraId="66129C04" w14:textId="77777777" w:rsidR="00E73E8E" w:rsidRDefault="00E73E8E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DNA in well (ng)</w:t>
            </w:r>
          </w:p>
        </w:tc>
      </w:tr>
      <w:tr w:rsidR="00797C7D" w14:paraId="4429D01D" w14:textId="77777777" w:rsidTr="00E73E8E">
        <w:tc>
          <w:tcPr>
            <w:tcW w:w="1368" w:type="dxa"/>
          </w:tcPr>
          <w:p w14:paraId="35004478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2160" w:type="dxa"/>
          </w:tcPr>
          <w:p w14:paraId="664F828A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134FC4E6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8" w:type="dxa"/>
          </w:tcPr>
          <w:p w14:paraId="76415A15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C7D" w14:paraId="593A45D5" w14:textId="77777777" w:rsidTr="00E73E8E">
        <w:tc>
          <w:tcPr>
            <w:tcW w:w="1368" w:type="dxa"/>
          </w:tcPr>
          <w:p w14:paraId="1321C560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</w:t>
            </w:r>
          </w:p>
        </w:tc>
        <w:tc>
          <w:tcPr>
            <w:tcW w:w="2160" w:type="dxa"/>
          </w:tcPr>
          <w:p w14:paraId="119DA961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14:paraId="687795E0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8" w:type="dxa"/>
          </w:tcPr>
          <w:p w14:paraId="4EBD8F96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797C7D" w14:paraId="2D7B3092" w14:textId="77777777" w:rsidTr="00E73E8E">
        <w:tc>
          <w:tcPr>
            <w:tcW w:w="1368" w:type="dxa"/>
          </w:tcPr>
          <w:p w14:paraId="2B95DC24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  <w:tc>
          <w:tcPr>
            <w:tcW w:w="2160" w:type="dxa"/>
          </w:tcPr>
          <w:p w14:paraId="2F2B09CD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700" w:type="dxa"/>
          </w:tcPr>
          <w:p w14:paraId="2123C435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742AEAB6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</w:tr>
      <w:tr w:rsidR="00797C7D" w14:paraId="61F6F650" w14:textId="77777777" w:rsidTr="00E73E8E">
        <w:tc>
          <w:tcPr>
            <w:tcW w:w="1368" w:type="dxa"/>
          </w:tcPr>
          <w:p w14:paraId="6A030C9B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</w:tc>
        <w:tc>
          <w:tcPr>
            <w:tcW w:w="2160" w:type="dxa"/>
          </w:tcPr>
          <w:p w14:paraId="12077FA9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</w:t>
            </w:r>
          </w:p>
        </w:tc>
        <w:tc>
          <w:tcPr>
            <w:tcW w:w="2700" w:type="dxa"/>
          </w:tcPr>
          <w:p w14:paraId="44B938B5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628" w:type="dxa"/>
          </w:tcPr>
          <w:p w14:paraId="10C14815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797C7D" w14:paraId="55AC2C79" w14:textId="77777777" w:rsidTr="00E73E8E">
        <w:tc>
          <w:tcPr>
            <w:tcW w:w="1368" w:type="dxa"/>
          </w:tcPr>
          <w:p w14:paraId="5A544D1A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6F1EC9D1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14:paraId="0B313BEF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8" w:type="dxa"/>
          </w:tcPr>
          <w:p w14:paraId="7AD4ED9A" w14:textId="77777777" w:rsidR="00797C7D" w:rsidRDefault="00797C7D" w:rsidP="0002282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932FDCA" w14:textId="77777777" w:rsidR="00D81318" w:rsidRPr="00DA286B" w:rsidRDefault="00D81318" w:rsidP="00D81318">
      <w:pPr>
        <w:pStyle w:val="NoSpacing"/>
        <w:rPr>
          <w:sz w:val="24"/>
          <w:szCs w:val="24"/>
        </w:rPr>
      </w:pPr>
    </w:p>
    <w:p w14:paraId="443F146F" w14:textId="77777777" w:rsidR="00D81318" w:rsidRDefault="00D81318" w:rsidP="00D81318">
      <w:pPr>
        <w:pStyle w:val="NoSpacing"/>
        <w:rPr>
          <w:sz w:val="24"/>
          <w:szCs w:val="24"/>
        </w:rPr>
      </w:pPr>
    </w:p>
    <w:p w14:paraId="42FFCF4D" w14:textId="77777777" w:rsidR="00FF0B1F" w:rsidRDefault="00FF0B1F" w:rsidP="00D81318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Read Plate</w:t>
      </w:r>
      <w:bookmarkStart w:id="0" w:name="_GoBack"/>
      <w:bookmarkEnd w:id="0"/>
    </w:p>
    <w:p w14:paraId="6AC082CE" w14:textId="77777777" w:rsidR="00FF0B1F" w:rsidRDefault="00FF0B1F" w:rsidP="00FF0B1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Open software “Gen5 1.11” on computer to the left of the plate reader.  </w:t>
      </w:r>
    </w:p>
    <w:p w14:paraId="7666FDC3" w14:textId="77777777" w:rsidR="00FF0B1F" w:rsidRDefault="00FF0B1F" w:rsidP="00FF0B1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“</w:t>
      </w:r>
      <w:proofErr w:type="spellStart"/>
      <w:r>
        <w:rPr>
          <w:sz w:val="24"/>
          <w:szCs w:val="24"/>
        </w:rPr>
        <w:t>Expt</w:t>
      </w:r>
      <w:proofErr w:type="spellEnd"/>
      <w:r>
        <w:rPr>
          <w:sz w:val="24"/>
          <w:szCs w:val="24"/>
        </w:rPr>
        <w:t>”, then “P.G. Auto ‘</w:t>
      </w:r>
      <w:proofErr w:type="spellStart"/>
      <w:r>
        <w:rPr>
          <w:sz w:val="24"/>
          <w:szCs w:val="24"/>
        </w:rPr>
        <w:t>Henikoff_Picogreen_Auto</w:t>
      </w:r>
      <w:proofErr w:type="spellEnd"/>
      <w:r>
        <w:rPr>
          <w:sz w:val="24"/>
          <w:szCs w:val="24"/>
        </w:rPr>
        <w:t>’” template.</w:t>
      </w:r>
    </w:p>
    <w:p w14:paraId="68221561" w14:textId="77777777" w:rsidR="00FF0B1F" w:rsidRDefault="00FF0B1F" w:rsidP="00FF0B1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the left arrow icon at the top, which is the “read plate” button.</w:t>
      </w:r>
    </w:p>
    <w:p w14:paraId="7E9B07AC" w14:textId="77777777" w:rsidR="00FF0B1F" w:rsidRDefault="00FF0B1F" w:rsidP="00FF0B1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“READ”.  Next, insert your plate into the plate reader when it tells you to do so (there is a metal clip on the bottom right that the plate inserts underneath</w:t>
      </w:r>
      <w:r w:rsidR="00E73E8E">
        <w:rPr>
          <w:sz w:val="24"/>
          <w:szCs w:val="24"/>
        </w:rPr>
        <w:t xml:space="preserve">).  </w:t>
      </w:r>
      <w:r>
        <w:rPr>
          <w:sz w:val="24"/>
          <w:szCs w:val="24"/>
        </w:rPr>
        <w:t>Then click “OK”.</w:t>
      </w:r>
    </w:p>
    <w:p w14:paraId="1C823EBB" w14:textId="77777777" w:rsidR="00E73E8E" w:rsidRDefault="00E73E8E" w:rsidP="00FF0B1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Plate will be read and readings will be displayed in a 96 well format.  These values can be exported as an Excel file.</w:t>
      </w:r>
    </w:p>
    <w:p w14:paraId="4BAD5F7A" w14:textId="77777777" w:rsidR="00616131" w:rsidRDefault="00616131" w:rsidP="00616131">
      <w:pPr>
        <w:pStyle w:val="NoSpacing"/>
        <w:rPr>
          <w:sz w:val="24"/>
          <w:szCs w:val="24"/>
        </w:rPr>
      </w:pPr>
    </w:p>
    <w:p w14:paraId="5534B977" w14:textId="77777777" w:rsidR="00616131" w:rsidRDefault="00616131" w:rsidP="00616131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Notes</w:t>
      </w:r>
    </w:p>
    <w:p w14:paraId="62BBE484" w14:textId="77777777" w:rsidR="00616131" w:rsidRPr="00616131" w:rsidRDefault="00616131" w:rsidP="006161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Henikoff lab says that they have tried washing and reusing the plates, but are not able to wash them out thoroughly enough.  The same plate can be used in a different assay, but new wells must be used.  (Can wash out well A1 and reload a duplicate high DNA sample in this well since it will still be used as a reference well)</w:t>
      </w:r>
    </w:p>
    <w:p w14:paraId="5D3A976F" w14:textId="77777777" w:rsidR="00D81318" w:rsidRPr="00DA286B" w:rsidRDefault="00D81318" w:rsidP="00D81318">
      <w:pPr>
        <w:pStyle w:val="NoSpacing"/>
        <w:rPr>
          <w:sz w:val="24"/>
          <w:szCs w:val="24"/>
        </w:rPr>
      </w:pPr>
    </w:p>
    <w:p w14:paraId="2BD0645A" w14:textId="77777777" w:rsidR="00D81318" w:rsidRPr="00DA286B" w:rsidRDefault="00D81318" w:rsidP="00D81318">
      <w:pPr>
        <w:pStyle w:val="NoSpacing"/>
      </w:pPr>
    </w:p>
    <w:sectPr w:rsidR="00D81318" w:rsidRPr="00DA28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32320" w14:textId="77777777" w:rsidR="00200D81" w:rsidRDefault="00200D81" w:rsidP="00200D81">
      <w:pPr>
        <w:spacing w:after="0" w:line="240" w:lineRule="auto"/>
      </w:pPr>
      <w:r>
        <w:separator/>
      </w:r>
    </w:p>
  </w:endnote>
  <w:endnote w:type="continuationSeparator" w:id="0">
    <w:p w14:paraId="0E2CE245" w14:textId="77777777" w:rsidR="00200D81" w:rsidRDefault="00200D81" w:rsidP="002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9CE2" w14:textId="3B7E320A" w:rsidR="00200D81" w:rsidRDefault="00200D81" w:rsidP="00200D8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056EB" w14:textId="77777777" w:rsidR="00200D81" w:rsidRDefault="00200D81" w:rsidP="00200D81">
      <w:pPr>
        <w:spacing w:after="0" w:line="240" w:lineRule="auto"/>
      </w:pPr>
      <w:r>
        <w:separator/>
      </w:r>
    </w:p>
  </w:footnote>
  <w:footnote w:type="continuationSeparator" w:id="0">
    <w:p w14:paraId="346D3852" w14:textId="77777777" w:rsidR="00200D81" w:rsidRDefault="00200D81" w:rsidP="0020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1ED7"/>
    <w:multiLevelType w:val="hybridMultilevel"/>
    <w:tmpl w:val="443C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73F"/>
    <w:multiLevelType w:val="hybridMultilevel"/>
    <w:tmpl w:val="7DF4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76E65"/>
    <w:multiLevelType w:val="hybridMultilevel"/>
    <w:tmpl w:val="E9A4C8EC"/>
    <w:lvl w:ilvl="0" w:tplc="ADAAD2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A7F94"/>
    <w:multiLevelType w:val="hybridMultilevel"/>
    <w:tmpl w:val="6284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18"/>
    <w:rsid w:val="00200D81"/>
    <w:rsid w:val="00204F53"/>
    <w:rsid w:val="00243C82"/>
    <w:rsid w:val="003C4005"/>
    <w:rsid w:val="004D0E3B"/>
    <w:rsid w:val="005D036E"/>
    <w:rsid w:val="005F1C5F"/>
    <w:rsid w:val="00616131"/>
    <w:rsid w:val="00797C7D"/>
    <w:rsid w:val="009272BA"/>
    <w:rsid w:val="00961D95"/>
    <w:rsid w:val="00A55620"/>
    <w:rsid w:val="00AF11E0"/>
    <w:rsid w:val="00B4516F"/>
    <w:rsid w:val="00C36635"/>
    <w:rsid w:val="00C513BF"/>
    <w:rsid w:val="00D81318"/>
    <w:rsid w:val="00D93BF8"/>
    <w:rsid w:val="00DA286B"/>
    <w:rsid w:val="00DB4E9B"/>
    <w:rsid w:val="00E0123F"/>
    <w:rsid w:val="00E73E8E"/>
    <w:rsid w:val="00ED47F9"/>
    <w:rsid w:val="00F56480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81C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3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40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E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B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D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81"/>
  </w:style>
  <w:style w:type="paragraph" w:styleId="Footer">
    <w:name w:val="footer"/>
    <w:basedOn w:val="Normal"/>
    <w:link w:val="FooterChar"/>
    <w:uiPriority w:val="99"/>
    <w:unhideWhenUsed/>
    <w:rsid w:val="00200D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81"/>
  </w:style>
  <w:style w:type="character" w:styleId="PageNumber">
    <w:name w:val="page number"/>
    <w:basedOn w:val="DefaultParagraphFont"/>
    <w:uiPriority w:val="99"/>
    <w:semiHidden/>
    <w:unhideWhenUsed/>
    <w:rsid w:val="00200D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3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40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E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B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D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81"/>
  </w:style>
  <w:style w:type="paragraph" w:styleId="Footer">
    <w:name w:val="footer"/>
    <w:basedOn w:val="Normal"/>
    <w:link w:val="FooterChar"/>
    <w:uiPriority w:val="99"/>
    <w:unhideWhenUsed/>
    <w:rsid w:val="00200D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81"/>
  </w:style>
  <w:style w:type="character" w:styleId="PageNumber">
    <w:name w:val="page number"/>
    <w:basedOn w:val="DefaultParagraphFont"/>
    <w:uiPriority w:val="99"/>
    <w:semiHidden/>
    <w:unhideWhenUsed/>
    <w:rsid w:val="0020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tools.thermofisher.com/content/sfs/manuals/mp07581.pdf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FHCRC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Warfield</dc:creator>
  <cp:lastModifiedBy>Steve Hahn</cp:lastModifiedBy>
  <cp:revision>5</cp:revision>
  <cp:lastPrinted>2016-04-08T16:28:00Z</cp:lastPrinted>
  <dcterms:created xsi:type="dcterms:W3CDTF">2016-05-24T22:17:00Z</dcterms:created>
  <dcterms:modified xsi:type="dcterms:W3CDTF">2016-05-24T23:35:00Z</dcterms:modified>
</cp:coreProperties>
</file>